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rPr>
          <w:rFonts w:ascii="Times New Roman" w:cs="Times New Roman" w:hAnsi="Times New Roman" w:eastAsia="Times New Roman"/>
        </w:rPr>
      </w:pPr>
      <w:r>
        <w:rPr>
          <w:rFonts w:ascii="Times New Roman" w:hAnsi="Times New Roman"/>
          <w:rtl w:val="0"/>
          <w:lang w:val="en-US"/>
        </w:rPr>
        <w:t>Template for registering additional data from interviews</w:t>
      </w:r>
    </w:p>
    <w:p>
      <w:pPr>
        <w:pStyle w:val="Normal.0"/>
        <w:spacing w:line="276" w:lineRule="auto"/>
        <w:jc w:val="both"/>
        <w:rPr>
          <w:lang w:val="en-US"/>
        </w:rPr>
      </w:pPr>
    </w:p>
    <w:p>
      <w:pPr>
        <w:pStyle w:val="Normal.0"/>
        <w:spacing w:line="276" w:lineRule="auto"/>
        <w:jc w:val="both"/>
        <w:rPr>
          <w:lang w:val="en-US"/>
        </w:rPr>
      </w:pPr>
    </w:p>
    <w:p>
      <w:pPr>
        <w:pStyle w:val="Normal.0"/>
        <w:spacing w:line="276" w:lineRule="auto"/>
        <w:jc w:val="both"/>
        <w:rPr>
          <w:lang w:val="en-US"/>
        </w:rPr>
      </w:pPr>
      <w:r>
        <w:rPr>
          <w:rtl w:val="0"/>
          <w:lang w:val="en-US"/>
        </w:rPr>
        <w:t xml:space="preserve">Intern name: </w:t>
      </w:r>
      <w:r>
        <w:rPr>
          <w:rtl w:val="0"/>
          <w:lang w:val="en-US"/>
        </w:rPr>
        <w:t>Rebeka Balazs</w:t>
      </w:r>
      <w:r>
        <w:rPr>
          <w:rtl w:val="0"/>
          <w:lang w:val="en-US"/>
        </w:rPr>
        <w:t>__________________________</w:t>
      </w:r>
    </w:p>
    <w:p>
      <w:pPr>
        <w:pStyle w:val="Normal.0"/>
        <w:spacing w:line="276" w:lineRule="auto"/>
        <w:jc w:val="both"/>
        <w:rPr>
          <w:lang w:val="en-US"/>
        </w:rPr>
      </w:pPr>
      <w:r>
        <w:rPr>
          <w:rtl w:val="0"/>
          <w:lang w:val="en-US"/>
        </w:rPr>
        <w:t xml:space="preserve">Interview number: </w:t>
      </w:r>
      <w:r>
        <w:rPr>
          <w:rtl w:val="0"/>
          <w:lang w:val="en-US"/>
        </w:rPr>
        <w:t>1</w:t>
      </w:r>
      <w:r>
        <w:rPr>
          <w:rtl w:val="0"/>
          <w:lang w:val="en-US"/>
        </w:rPr>
        <w:t xml:space="preserve"> (email correspondence)______</w:t>
      </w:r>
    </w:p>
    <w:p>
      <w:pPr>
        <w:pStyle w:val="Normal.0"/>
        <w:spacing w:line="276" w:lineRule="auto"/>
        <w:jc w:val="both"/>
        <w:rPr>
          <w:lang w:val="en-US"/>
        </w:rPr>
      </w:pPr>
    </w:p>
    <w:p>
      <w:pPr>
        <w:pStyle w:val="Normal.0"/>
        <w:spacing w:line="276" w:lineRule="auto"/>
        <w:jc w:val="both"/>
        <w:rPr>
          <w:lang w:val="en-US"/>
        </w:rPr>
      </w:pPr>
    </w:p>
    <w:tbl>
      <w:tblPr>
        <w:tblW w:w="90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1"/>
        <w:gridCol w:w="5049"/>
      </w:tblGrid>
      <w:tr>
        <w:tblPrEx>
          <w:shd w:val="clear" w:color="auto" w:fill="ced7e7"/>
        </w:tblPrEx>
        <w:trPr>
          <w:trHeight w:val="300" w:hRule="atLeast"/>
        </w:trPr>
        <w:tc>
          <w:tcPr>
            <w:tcW w:type="dxa" w:w="3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Name of the intervention and city:</w:t>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Central European university, Rooftop garden</w:t>
            </w:r>
          </w:p>
        </w:tc>
      </w:tr>
      <w:tr>
        <w:tblPrEx>
          <w:shd w:val="clear" w:color="auto" w:fill="ced7e7"/>
        </w:tblPrEx>
        <w:trPr>
          <w:trHeight w:val="300" w:hRule="atLeast"/>
        </w:trPr>
        <w:tc>
          <w:tcPr>
            <w:tcW w:type="dxa" w:w="3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Date of the first sent email:</w:t>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July</w:t>
            </w:r>
            <w:r>
              <w:rPr>
                <w:caps w:val="0"/>
                <w:smallCaps w:val="0"/>
                <w:strike w:val="0"/>
                <w:dstrike w:val="0"/>
                <w:outline w:val="0"/>
                <w:color w:val="000000"/>
                <w:spacing w:val="0"/>
                <w:kern w:val="0"/>
                <w:position w:val="0"/>
                <w:sz w:val="24"/>
                <w:szCs w:val="24"/>
                <w:u w:val="none" w:color="000000"/>
                <w:vertAlign w:val="baseline"/>
                <w:rtl w:val="0"/>
                <w:lang w:val="en-US"/>
              </w:rPr>
              <w:t xml:space="preserve"> </w:t>
            </w:r>
            <w:r>
              <w:rPr>
                <w:caps w:val="0"/>
                <w:smallCaps w:val="0"/>
                <w:strike w:val="0"/>
                <w:dstrike w:val="0"/>
                <w:outline w:val="0"/>
                <w:color w:val="000000"/>
                <w:spacing w:val="0"/>
                <w:kern w:val="0"/>
                <w:position w:val="0"/>
                <w:sz w:val="24"/>
                <w:szCs w:val="24"/>
                <w:u w:val="none" w:color="000000"/>
                <w:vertAlign w:val="baseline"/>
                <w:rtl w:val="0"/>
                <w:lang w:val="en-US"/>
              </w:rPr>
              <w:t>3,</w:t>
            </w:r>
            <w:r>
              <w:rPr>
                <w:caps w:val="0"/>
                <w:smallCaps w:val="0"/>
                <w:strike w:val="0"/>
                <w:dstrike w:val="0"/>
                <w:outline w:val="0"/>
                <w:color w:val="000000"/>
                <w:spacing w:val="0"/>
                <w:kern w:val="0"/>
                <w:position w:val="0"/>
                <w:sz w:val="24"/>
                <w:szCs w:val="24"/>
                <w:u w:val="none" w:color="000000"/>
                <w:vertAlign w:val="baseline"/>
                <w:rtl w:val="0"/>
                <w:lang w:val="en-US"/>
              </w:rPr>
              <w:t xml:space="preserve"> 2017</w:t>
            </w:r>
          </w:p>
        </w:tc>
      </w:tr>
      <w:tr>
        <w:tblPrEx>
          <w:shd w:val="clear" w:color="auto" w:fill="ced7e7"/>
        </w:tblPrEx>
        <w:trPr>
          <w:trHeight w:val="300" w:hRule="atLeast"/>
        </w:trPr>
        <w:tc>
          <w:tcPr>
            <w:tcW w:type="dxa" w:w="3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Name of the person contacted:</w:t>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 xml:space="preserve">Logan </w:t>
            </w:r>
            <w:r>
              <w:rPr>
                <w:caps w:val="0"/>
                <w:smallCaps w:val="0"/>
                <w:strike w:val="0"/>
                <w:dstrike w:val="0"/>
                <w:outline w:val="0"/>
                <w:color w:val="000000"/>
                <w:spacing w:val="0"/>
                <w:kern w:val="0"/>
                <w:position w:val="0"/>
                <w:sz w:val="24"/>
                <w:szCs w:val="24"/>
                <w:u w:val="none" w:color="000000"/>
                <w:vertAlign w:val="baseline"/>
                <w:rtl w:val="0"/>
                <w:lang w:val="en-US"/>
              </w:rPr>
              <w:t>Strenchock</w:t>
            </w:r>
          </w:p>
        </w:tc>
      </w:tr>
      <w:tr>
        <w:tblPrEx>
          <w:shd w:val="clear" w:color="auto" w:fill="ced7e7"/>
        </w:tblPrEx>
        <w:trPr>
          <w:trHeight w:val="300" w:hRule="atLeast"/>
        </w:trPr>
        <w:tc>
          <w:tcPr>
            <w:tcW w:type="dxa" w:w="3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Position of the person contacted:</w:t>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rtl w:val="0"/>
                <w:lang w:val="en-US"/>
              </w:rPr>
              <w:t>Environmental and Sustainability Officer</w:t>
            </w:r>
          </w:p>
        </w:tc>
      </w:tr>
      <w:tr>
        <w:tblPrEx>
          <w:shd w:val="clear" w:color="auto" w:fill="ced7e7"/>
        </w:tblPrEx>
        <w:trPr>
          <w:trHeight w:val="300" w:hRule="atLeast"/>
        </w:trPr>
        <w:tc>
          <w:tcPr>
            <w:tcW w:type="dxa" w:w="3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Email address of the person contacted:</w:t>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rStyle w:val="Hyperlink.0"/>
              </w:rPr>
              <w:fldChar w:fldCharType="begin" w:fldLock="0"/>
            </w:r>
            <w:r>
              <w:rPr>
                <w:rStyle w:val="Hyperlink.0"/>
              </w:rPr>
              <w:instrText xml:space="preserve"> HYPERLINK "mailto:StrenchockL@ceu.edu"</w:instrText>
            </w:r>
            <w:r>
              <w:rPr>
                <w:rStyle w:val="Hyperlink.0"/>
              </w:rPr>
              <w:fldChar w:fldCharType="separate" w:fldLock="0"/>
            </w:r>
            <w:r>
              <w:rPr>
                <w:rStyle w:val="Hyperlink.0"/>
                <w:rtl w:val="0"/>
                <w:lang w:val="fr-FR"/>
              </w:rPr>
              <w:t>StrenchockL@ceu.edu</w:t>
            </w:r>
            <w:r>
              <w:rPr/>
              <w:fldChar w:fldCharType="end" w:fldLock="0"/>
            </w:r>
          </w:p>
        </w:tc>
      </w:tr>
    </w:tbl>
    <w:p>
      <w:pPr>
        <w:pStyle w:val="Normal.0"/>
        <w:jc w:val="both"/>
        <w:rPr>
          <w:lang w:val="en-US"/>
        </w:rPr>
      </w:pPr>
    </w:p>
    <w:p>
      <w:pPr>
        <w:pStyle w:val="Normal.0"/>
        <w:spacing w:line="276" w:lineRule="auto"/>
        <w:jc w:val="both"/>
        <w:rPr>
          <w:lang w:val="en-US"/>
        </w:rPr>
      </w:pPr>
      <w:r>
        <w:rPr>
          <w:rtl w:val="0"/>
          <w:lang w:val="en-US"/>
        </w:rPr>
        <w:t>In the following table, the answers collected from the interview should be registered, the section number should be indicated as well as the specific question asked.</w:t>
      </w:r>
    </w:p>
    <w:p>
      <w:pPr>
        <w:pStyle w:val="Normal.0"/>
        <w:spacing w:line="276" w:lineRule="auto"/>
        <w:jc w:val="both"/>
        <w:rPr>
          <w:lang w:val="en-US"/>
        </w:rPr>
      </w:pPr>
    </w:p>
    <w:tbl>
      <w:tblPr>
        <w:tblW w:w="90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83"/>
        <w:gridCol w:w="3457"/>
        <w:gridCol w:w="3770"/>
      </w:tblGrid>
      <w:tr>
        <w:tblPrEx>
          <w:shd w:val="clear" w:color="auto" w:fill="ced7e7"/>
        </w:tblPrEx>
        <w:trPr>
          <w:trHeight w:val="300"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Section #</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Question</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Answer</w:t>
            </w:r>
          </w:p>
        </w:tc>
      </w:tr>
      <w:tr>
        <w:tblPrEx>
          <w:shd w:val="clear" w:color="auto" w:fill="ced7e7"/>
        </w:tblPrEx>
        <w:trPr>
          <w:trHeight w:val="643"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rPr>
                <w:sz w:val="24"/>
                <w:szCs w:val="24"/>
                <w:lang w:val="en-US"/>
              </w:rPr>
            </w:pPr>
            <w:r>
              <w:rPr>
                <w:caps w:val="0"/>
                <w:smallCaps w:val="0"/>
                <w:strike w:val="0"/>
                <w:dstrike w:val="0"/>
                <w:outline w:val="0"/>
                <w:color w:val="000000"/>
                <w:spacing w:val="0"/>
                <w:kern w:val="0"/>
                <w:position w:val="0"/>
                <w:sz w:val="24"/>
                <w:szCs w:val="24"/>
                <w:u w:val="none" w:color="000000"/>
                <w:vertAlign w:val="baseline"/>
                <w:rtl w:val="0"/>
                <w:lang w:val="en-US"/>
              </w:rPr>
              <w:t>General information</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43"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rPr>
                <w:sz w:val="24"/>
                <w:szCs w:val="24"/>
                <w:lang w:val="en-US"/>
              </w:rPr>
            </w:pPr>
            <w:r>
              <w:rPr>
                <w:caps w:val="0"/>
                <w:smallCaps w:val="0"/>
                <w:strike w:val="0"/>
                <w:dstrike w:val="0"/>
                <w:outline w:val="0"/>
                <w:color w:val="000000"/>
                <w:spacing w:val="0"/>
                <w:kern w:val="0"/>
                <w:position w:val="0"/>
                <w:sz w:val="24"/>
                <w:szCs w:val="24"/>
                <w:u w:val="none" w:color="000000"/>
                <w:vertAlign w:val="baseline"/>
                <w:rtl w:val="0"/>
                <w:lang w:val="en-US"/>
              </w:rPr>
              <w:t>Goals of the intervention</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87"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rPr>
                <w:sz w:val="24"/>
                <w:szCs w:val="24"/>
                <w:lang w:val="en-US"/>
              </w:rPr>
            </w:pPr>
            <w:r>
              <w:rPr>
                <w:caps w:val="0"/>
                <w:smallCaps w:val="0"/>
                <w:strike w:val="0"/>
                <w:dstrike w:val="0"/>
                <w:outline w:val="0"/>
                <w:color w:val="000000"/>
                <w:spacing w:val="0"/>
                <w:kern w:val="0"/>
                <w:position w:val="0"/>
                <w:sz w:val="24"/>
                <w:szCs w:val="24"/>
                <w:u w:val="none" w:color="000000"/>
                <w:vertAlign w:val="baseline"/>
                <w:rtl w:val="0"/>
                <w:lang w:val="en-US"/>
              </w:rPr>
              <w:t>Domains, Services, Scale</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300"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caps w:val="0"/>
                <w:smallCaps w:val="0"/>
                <w:strike w:val="0"/>
                <w:dstrike w:val="0"/>
                <w:outline w:val="0"/>
                <w:color w:val="000000"/>
                <w:spacing w:val="0"/>
                <w:kern w:val="0"/>
                <w:position w:val="0"/>
                <w:sz w:val="24"/>
                <w:szCs w:val="24"/>
                <w:u w:val="none" w:color="000000"/>
                <w:vertAlign w:val="baseline"/>
                <w:rtl w:val="0"/>
                <w:lang w:val="en-US"/>
              </w:rPr>
              <w:t xml:space="preserve">4, Governance and Financing </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rtl w:val="0"/>
              </w:rPr>
              <w:t>p</w:t>
            </w:r>
            <w:r>
              <w:rPr>
                <w:caps w:val="0"/>
                <w:smallCaps w:val="0"/>
                <w:strike w:val="0"/>
                <w:dstrike w:val="0"/>
                <w:outline w:val="0"/>
                <w:color w:val="000000"/>
                <w:spacing w:val="0"/>
                <w:kern w:val="0"/>
                <w:position w:val="0"/>
                <w:sz w:val="24"/>
                <w:szCs w:val="24"/>
                <w:u w:val="none" w:color="000000"/>
                <w:vertAlign w:val="baseline"/>
                <w:rtl w:val="0"/>
                <w:lang w:val="en-US"/>
              </w:rPr>
              <w:t>olicy Drivers?</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caps w:val="0"/>
                <w:smallCaps w:val="0"/>
                <w:strike w:val="0"/>
                <w:dstrike w:val="0"/>
                <w:outline w:val="0"/>
                <w:color w:val="000000"/>
                <w:spacing w:val="0"/>
                <w:kern w:val="0"/>
                <w:position w:val="0"/>
                <w:sz w:val="24"/>
                <w:szCs w:val="24"/>
                <w:u w:val="none" w:color="000000"/>
                <w:vertAlign w:val="baseline"/>
                <w:rtl w:val="0"/>
              </w:rPr>
              <w:t>The rooftop garden was included into the campus redevelopment project to increase on site biodiversity to our urban campus, to fulfill our commitments outlined in the University Sustainable Development policy and within the framework of the BREEAM green building accreditation system which the University chose to adopt as part of the campus redevelopment project. Within the Land Use and Ecology section, adding additional ecological value on campus was particularly important, and in addition to this, the additional communal garden space was included to provide a practical space for introducing the basics of urban, organic rooftop gardening to the campus community.</w:t>
            </w:r>
          </w:p>
        </w:tc>
      </w:tr>
      <w:tr>
        <w:tblPrEx>
          <w:shd w:val="clear" w:color="auto" w:fill="ced7e7"/>
        </w:tblPrEx>
        <w:trPr>
          <w:trHeight w:val="4421"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voluntary/mandatory?</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The adopting of the BREEAM environmental accreditation standards for the redevelopment project was voluntary, but once agreeing to utilize the accreditation method, adding biodiversity value to our campus was required to fulfill specific credits within the evaluation framework. We utilized the BREEAM Bespoke 2010 regulations, within with the rooftop garden was specifically important in the Land Use and Ecology Section.</w:t>
            </w:r>
          </w:p>
        </w:tc>
      </w:tr>
      <w:tr>
        <w:tblPrEx>
          <w:shd w:val="clear" w:color="auto" w:fill="ced7e7"/>
        </w:tblPrEx>
        <w:trPr>
          <w:trHeight w:val="987"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enablers (city level vision/strategy?)</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We were not specifically inspired by any local ordinances or local green building strategies or targets.</w:t>
            </w:r>
          </w:p>
        </w:tc>
      </w:tr>
      <w:tr>
        <w:tblPrEx>
          <w:shd w:val="clear" w:color="auto" w:fill="ced7e7"/>
        </w:tblPrEx>
        <w:trPr>
          <w:trHeight w:val="4765"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research?</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To date, no specific research projects have been undertaken to research the benefit of our green rooftop space. It is an ideal project to embark on in the near future. The green wall portions of the rooftop garden were constructed based on an experimental design provided by our landscaping contractors, who to date has been implementing similar interventions in Austria. We are the first site in Hungary to have this particular type of green wall installed on our campus.</w:t>
            </w:r>
          </w:p>
        </w:tc>
      </w:tr>
      <w:tr>
        <w:tblPrEx>
          <w:shd w:val="clear" w:color="auto" w:fill="ced7e7"/>
        </w:tblPrEx>
        <w:trPr>
          <w:trHeight w:val="4765"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cost?</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I do not personally have this information. It was certainly budgeted in the original project cost outline, but the end cost of the intervention after construction is something that only our campus redevelopment team may be able to answer. The cost of the intervention was justified by the resultant outdoor communal space on our urban campus, along with the additional added value in biodiversity and the usefulness of the communal garden space.</w:t>
            </w:r>
          </w:p>
        </w:tc>
      </w:tr>
      <w:tr>
        <w:tblPrEx>
          <w:shd w:val="clear" w:color="auto" w:fill="ced7e7"/>
        </w:tblPrEx>
        <w:trPr>
          <w:trHeight w:val="6017"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6"/>
              </w:numPr>
              <w:rPr>
                <w:sz w:val="24"/>
                <w:szCs w:val="24"/>
                <w:lang w:val="en-US"/>
              </w:rPr>
            </w:pPr>
            <w:r>
              <w:rPr>
                <w:caps w:val="0"/>
                <w:smallCaps w:val="0"/>
                <w:strike w:val="0"/>
                <w:dstrike w:val="0"/>
                <w:outline w:val="0"/>
                <w:color w:val="000000"/>
                <w:spacing w:val="0"/>
                <w:kern w:val="0"/>
                <w:position w:val="0"/>
                <w:sz w:val="24"/>
                <w:szCs w:val="24"/>
                <w:u w:val="none" w:color="000000"/>
                <w:vertAlign w:val="baseline"/>
                <w:rtl w:val="0"/>
                <w:lang w:val="en-US"/>
              </w:rPr>
              <w:t>Innovation</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 xml:space="preserve">see </w:t>
            </w: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research part as well</w:t>
            </w:r>
          </w:p>
          <w:p>
            <w:pPr>
              <w:keepNext w:val="0"/>
              <w:keepLines w:val="0"/>
              <w:pageBreakBefore w:val="0"/>
              <w:widowControl w:val="1"/>
              <w:shd w:val="clear" w:color="auto" w:fill="auto"/>
              <w:suppressAutoHyphens w:val="0"/>
              <w:bidi w:val="0"/>
              <w:spacing w:before="0" w:after="0" w:line="276"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pPr>
          </w:p>
          <w:p>
            <w:pPr>
              <w:pStyle w:val="Alapértelmezett"/>
              <w:bidi w:val="0"/>
              <w:spacing w:line="280" w:lineRule="atLeast"/>
              <w:ind w:left="0" w:right="0" w:firstLine="0"/>
              <w:jc w:val="left"/>
              <w:rPr>
                <w:rtl w:val="0"/>
              </w:rPr>
            </w:pPr>
            <w:r>
              <w:rPr>
                <w:rFonts w:ascii="Times" w:hAnsi="Times"/>
                <w:sz w:val="24"/>
                <w:szCs w:val="24"/>
                <w:rtl w:val="0"/>
                <w:lang w:val="en-US"/>
              </w:rPr>
              <w:t>There are multiple design interventions which are quite unique within the region (green walls, permeable surfaces for collecting rainwater which feeds the irrigation system, automatic irrigation in the extensive garden areas) In addition to this the community roof garden area is the first of its type at a campus in Hungary. The community garden space has been integrated into course offerings which are held in the winter/spring semester each year, where participants have the opportunity to learn the basics of urban organic roof gardening, and put classroom skills learned into practice on site within the urban context.</w:t>
            </w:r>
          </w:p>
        </w:tc>
      </w:tr>
      <w:tr>
        <w:tblPrEx>
          <w:shd w:val="clear" w:color="auto" w:fill="ced7e7"/>
        </w:tblPrEx>
        <w:trPr>
          <w:trHeight w:val="2017"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8"/>
              </w:numPr>
              <w:rPr>
                <w:sz w:val="24"/>
                <w:szCs w:val="24"/>
                <w:lang w:val="en-US"/>
              </w:rPr>
            </w:pPr>
            <w:r>
              <w:rPr>
                <w:caps w:val="0"/>
                <w:smallCaps w:val="0"/>
                <w:strike w:val="0"/>
                <w:dstrike w:val="0"/>
                <w:outline w:val="0"/>
                <w:color w:val="000000"/>
                <w:spacing w:val="0"/>
                <w:kern w:val="0"/>
                <w:position w:val="0"/>
                <w:sz w:val="24"/>
                <w:szCs w:val="24"/>
                <w:u w:val="none" w:color="000000"/>
                <w:vertAlign w:val="baseline"/>
                <w:rtl w:val="0"/>
                <w:lang w:val="en-US"/>
              </w:rPr>
              <w:t>Evaluation and learning</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76" w:lineRule="auto"/>
              <w:jc w:val="both"/>
            </w:pPr>
            <w:r>
              <w:rPr>
                <w:rFonts w:ascii="Times New Roman" w:hAnsi="Times New Roman"/>
                <w:rtl w:val="0"/>
                <w:lang w:val="en-US"/>
              </w:rPr>
              <w:t>monitoring system?</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At this point, beyond annual water consumption from irrigation, there is not specific monitoring of heat or biodiversity, but it is a target to establish a measurement framework in the near future.</w:t>
            </w:r>
          </w:p>
        </w:tc>
      </w:tr>
      <w:tr>
        <w:tblPrEx>
          <w:shd w:val="clear" w:color="auto" w:fill="ced7e7"/>
        </w:tblPrEx>
        <w:trPr>
          <w:trHeight w:val="1330"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monitoring report?</w:t>
            </w: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6" w:lineRule="auto"/>
              <w:ind w:left="0" w:right="0" w:firstLine="0"/>
              <w:jc w:val="both"/>
              <w:outlineLvl w:val="9"/>
              <w:rPr>
                <w:rtl w:val="0"/>
              </w:rPr>
            </w:pPr>
            <w:r>
              <w:rPr>
                <w:rFonts w:ascii="Times New Roman" w:cs="Cambria" w:hAnsi="Times New Roman" w:eastAsia="Cambria"/>
                <w:b w:val="0"/>
                <w:bCs w:val="0"/>
                <w:i w:val="0"/>
                <w:iCs w:val="0"/>
                <w:caps w:val="0"/>
                <w:smallCaps w:val="0"/>
                <w:strike w:val="0"/>
                <w:dstrike w:val="0"/>
                <w:outline w:val="0"/>
                <w:color w:val="000000"/>
                <w:spacing w:val="0"/>
                <w:kern w:val="0"/>
                <w:position w:val="0"/>
                <w:sz w:val="24"/>
                <w:szCs w:val="24"/>
                <w:u w:val="none" w:color="000000"/>
                <w:vertAlign w:val="baseline"/>
                <w:rtl w:val="0"/>
              </w:rPr>
              <w:t>To date, after one year of operation, we have not produced a monitoring report, but aim to do so in the coming years.</w:t>
            </w:r>
          </w:p>
        </w:tc>
      </w:tr>
      <w:tr>
        <w:tblPrEx>
          <w:shd w:val="clear" w:color="auto" w:fill="ced7e7"/>
        </w:tblPrEx>
        <w:trPr>
          <w:trHeight w:val="300" w:hRule="atLeast"/>
        </w:trPr>
        <w:tc>
          <w:tcPr>
            <w:tcW w:type="dxa" w:w="1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0"/>
              </w:numPr>
              <w:rPr>
                <w:sz w:val="24"/>
                <w:szCs w:val="24"/>
                <w:lang w:val="en-US"/>
              </w:rPr>
            </w:pPr>
            <w:r>
              <w:rPr>
                <w:caps w:val="0"/>
                <w:smallCaps w:val="0"/>
                <w:strike w:val="0"/>
                <w:dstrike w:val="0"/>
                <w:outline w:val="0"/>
                <w:color w:val="000000"/>
                <w:spacing w:val="0"/>
                <w:kern w:val="0"/>
                <w:position w:val="0"/>
                <w:sz w:val="24"/>
                <w:szCs w:val="24"/>
                <w:u w:val="none" w:color="000000"/>
                <w:vertAlign w:val="baseline"/>
                <w:rtl w:val="0"/>
                <w:lang w:val="en-US"/>
              </w:rPr>
              <w:t>References</w:t>
            </w:r>
          </w:p>
        </w:tc>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jc w:val="both"/>
        <w:rPr>
          <w:lang w:val="en-US"/>
        </w:rPr>
      </w:pPr>
    </w:p>
    <w:p>
      <w:pPr>
        <w:pStyle w:val="Normal.0"/>
        <w:spacing w:line="276" w:lineRule="auto"/>
        <w:jc w:val="both"/>
        <w:rPr>
          <w:lang w:val="en-US"/>
        </w:rPr>
      </w:pPr>
    </w:p>
    <w:p>
      <w:pPr>
        <w:pStyle w:val="Normal.0"/>
        <w:spacing w:line="276" w:lineRule="auto"/>
        <w:jc w:val="both"/>
        <w:rPr>
          <w:lang w:val="en-US"/>
        </w:rPr>
      </w:pPr>
      <w:r>
        <w:rPr>
          <w:rtl w:val="0"/>
          <w:lang w:val="en-US"/>
        </w:rPr>
        <w:t>Additional documents received (please indicate here if documents were received through the interview):</w:t>
      </w:r>
    </w:p>
    <w:p>
      <w:pPr>
        <w:pStyle w:val="Normal.0"/>
        <w:spacing w:line="276" w:lineRule="auto"/>
        <w:jc w:val="both"/>
        <w:rPr>
          <w:lang w:val="en-US"/>
        </w:rPr>
      </w:pPr>
      <w:r>
        <w:rPr>
          <w:rtl w:val="0"/>
          <w:lang w:val="en-US"/>
        </w:rPr>
        <w:t>1.</w:t>
      </w:r>
    </w:p>
    <w:p>
      <w:pPr>
        <w:pStyle w:val="Normal.0"/>
        <w:spacing w:line="276" w:lineRule="auto"/>
        <w:jc w:val="both"/>
        <w:rPr>
          <w:lang w:val="en-US"/>
        </w:rPr>
      </w:pPr>
      <w:r>
        <w:rPr>
          <w:rtl w:val="0"/>
          <w:lang w:val="en-US"/>
        </w:rPr>
        <w:t>2.</w:t>
      </w:r>
    </w:p>
    <w:p>
      <w:pPr>
        <w:pStyle w:val="Normal.0"/>
        <w:spacing w:line="276" w:lineRule="auto"/>
        <w:jc w:val="both"/>
        <w:rPr>
          <w:lang w:val="en-US"/>
        </w:rPr>
      </w:pPr>
      <w:r>
        <w:rPr>
          <w:rtl w:val="0"/>
          <w:lang w:val="en-US"/>
        </w:rPr>
        <w:t>3.</w:t>
      </w:r>
    </w:p>
    <w:p>
      <w:pPr>
        <w:pStyle w:val="Normal.0"/>
        <w:spacing w:line="276" w:lineRule="auto"/>
        <w:jc w:val="both"/>
        <w:rPr>
          <w:lang w:val="en-US"/>
        </w:rPr>
      </w:pPr>
      <w:r>
        <w:rPr>
          <w:rtl w:val="0"/>
          <w:lang w:val="en-US"/>
        </w:rPr>
        <w:t>4.</w:t>
      </w:r>
    </w:p>
    <w:p>
      <w:pPr>
        <w:pStyle w:val="Normal.0"/>
        <w:spacing w:line="276" w:lineRule="auto"/>
        <w:jc w:val="both"/>
        <w:rPr>
          <w:lang w:val="en-US"/>
        </w:rPr>
      </w:pPr>
    </w:p>
    <w:p>
      <w:pPr>
        <w:pStyle w:val="Normal.0"/>
        <w:spacing w:line="276" w:lineRule="auto"/>
        <w:jc w:val="both"/>
      </w:pPr>
      <w:r>
        <w:rPr>
          <w:lang w:val="en-US"/>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ejléc és lábléc"/>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ejléc és lábléc"/>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4"/>
  </w:num>
  <w:num w:numId="8">
    <w:abstractNumId w:val="4"/>
    <w:lvlOverride w:ilvl="0">
      <w:startOverride w:val="2"/>
    </w:lvlOverride>
  </w:num>
  <w:num w:numId="9">
    <w:abstractNumId w:val="5"/>
  </w:num>
  <w:num w:numId="10">
    <w:abstractNumId w:val="5"/>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magyar" w:val="‘“(〔[{〈《「『【⦅〘〖«〝︵︷︹︻︽︿﹁﹃﹇﹙﹛﹝｢"/>
  <w:noLineBreaksBefore w:lang="magyar"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ejléc és lábléc">
    <w:name w:val="Fejléc és lábléc"/>
    <w:next w:val="Fejléc és lábléc"/>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1">
    <w:name w:val="Heading 1"/>
    <w:next w:val="Normal.0"/>
    <w:pPr>
      <w:keepNext w:val="1"/>
      <w:keepLines w:val="1"/>
      <w:pageBreakBefore w:val="0"/>
      <w:widowControl w:val="1"/>
      <w:shd w:val="clear" w:color="auto" w:fill="auto"/>
      <w:suppressAutoHyphens w:val="0"/>
      <w:bidi w:val="0"/>
      <w:spacing w:before="240" w:after="0" w:line="276" w:lineRule="auto"/>
      <w:ind w:left="0" w:right="0" w:firstLine="0"/>
      <w:jc w:val="both"/>
      <w:outlineLvl w:val="0"/>
    </w:pPr>
    <w:rPr>
      <w:rFonts w:ascii="Calibri Light" w:cs="Calibri Light" w:hAnsi="Calibri Light" w:eastAsia="Calibri Light"/>
      <w:b w:val="0"/>
      <w:bCs w:val="0"/>
      <w:i w:val="0"/>
      <w:iCs w:val="0"/>
      <w:caps w:val="0"/>
      <w:smallCaps w:val="0"/>
      <w:strike w:val="0"/>
      <w:dstrike w:val="0"/>
      <w:outline w:val="0"/>
      <w:color w:val="2e74b5"/>
      <w:spacing w:val="0"/>
      <w:kern w:val="0"/>
      <w:position w:val="0"/>
      <w:sz w:val="28"/>
      <w:szCs w:val="28"/>
      <w:u w:val="none" w:color="2e74b5"/>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0">
    <w:name w:val="Hyperlink.0"/>
    <w:basedOn w:val="Hyperlink"/>
    <w:next w:val="Hyperlink.0"/>
    <w:rPr>
      <w:color w:val="0000ff"/>
      <w:u w:val="single" w:color="0000ff"/>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Alapértelmezett">
    <w:name w:val="Alapértelmezett"/>
    <w:next w:val="Alapértelmezet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